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仿宋_GB2312" w:hAnsi="Arial" w:eastAsia="仿宋_GB2312" w:cs="Arial"/>
          <w:color w:val="333333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b/>
          <w:bCs/>
          <w:color w:val="333333"/>
          <w:kern w:val="0"/>
          <w:sz w:val="32"/>
          <w:szCs w:val="32"/>
          <w:shd w:val="clear" w:color="auto" w:fill="FFFFFF"/>
        </w:rPr>
        <w:t>附件：课程详细介绍</w:t>
      </w: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  <w:shd w:val="clear" w:color="auto" w:fill="FFFFFF"/>
        </w:rPr>
        <w:t> </w:t>
      </w:r>
    </w:p>
    <w:p>
      <w:pPr>
        <w:spacing w:line="560" w:lineRule="exact"/>
        <w:jc w:val="center"/>
        <w:rPr>
          <w:rFonts w:ascii="楷体_GB2312" w:hAnsi="楷体" w:eastAsia="楷体_GB2312" w:cs="Helvetica"/>
          <w:b/>
          <w:bCs/>
          <w:kern w:val="0"/>
          <w:sz w:val="32"/>
          <w:szCs w:val="32"/>
          <w:lang w:bidi="ar"/>
        </w:rPr>
      </w:pP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</w:rPr>
        <w:br w:type="textWrapping"/>
      </w:r>
      <w:r>
        <w:rPr>
          <w:rFonts w:hint="eastAsia" w:ascii="楷体_GB2312" w:hAnsi="楷体" w:eastAsia="楷体_GB2312" w:cs="Helvetica"/>
          <w:b/>
          <w:bCs/>
          <w:kern w:val="0"/>
          <w:sz w:val="32"/>
          <w:szCs w:val="32"/>
          <w:lang w:bidi="ar"/>
        </w:rPr>
        <w:t>DL205植物品种保护UPOV体系导论</w:t>
      </w:r>
    </w:p>
    <w:p>
      <w:pPr>
        <w:spacing w:line="560" w:lineRule="exact"/>
        <w:ind w:firstLine="643" w:firstLineChars="200"/>
        <w:rPr>
          <w:rFonts w:ascii="楷体_GB2312" w:hAnsi="楷体" w:eastAsia="楷体_GB2312" w:cs="Helvetica"/>
          <w:b/>
          <w:bCs/>
          <w:kern w:val="0"/>
          <w:sz w:val="32"/>
          <w:szCs w:val="32"/>
          <w:lang w:bidi="ar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 w:cs="Helvetica"/>
          <w:kern w:val="0"/>
          <w:sz w:val="32"/>
          <w:szCs w:val="32"/>
          <w:lang w:bidi="ar"/>
        </w:rPr>
      </w:pPr>
      <w:r>
        <w:rPr>
          <w:rFonts w:hint="eastAsia" w:ascii="仿宋_GB2312" w:hAnsi="仿宋" w:eastAsia="仿宋_GB2312" w:cs="Helvetica"/>
          <w:kern w:val="0"/>
          <w:sz w:val="32"/>
          <w:szCs w:val="32"/>
          <w:lang w:bidi="ar"/>
        </w:rPr>
        <w:t>本课程全面介绍了UPOV公约的各项规定，详细解读了UPOV公约关于植物新品种保护的主要原则、主体和客体、条件和范围和DUS测试等条款，以及国际植物新品种保护联盟的基本情况，是我国育种者加强品种权保护,推进农业技术创新的优秀法律实践指南。</w:t>
      </w:r>
    </w:p>
    <w:p>
      <w:pPr>
        <w:widowControl/>
        <w:numPr>
          <w:ilvl w:val="0"/>
          <w:numId w:val="1"/>
        </w:numPr>
        <w:spacing w:line="560" w:lineRule="exact"/>
        <w:ind w:left="624" w:hanging="624"/>
        <w:textAlignment w:val="baseline"/>
        <w:rPr>
          <w:rFonts w:ascii="仿宋_GB2312" w:hAnsi="仿宋" w:eastAsia="仿宋_GB2312" w:cs="Helvetica"/>
          <w:b/>
          <w:kern w:val="0"/>
          <w:sz w:val="32"/>
          <w:szCs w:val="32"/>
          <w:lang w:bidi="ar"/>
        </w:rPr>
      </w:pPr>
      <w:r>
        <w:rPr>
          <w:rFonts w:hint="eastAsia" w:ascii="仿宋_GB2312" w:hAnsi="仿宋" w:eastAsia="仿宋_GB2312" w:cs="Helvetica"/>
          <w:b/>
          <w:kern w:val="0"/>
          <w:sz w:val="32"/>
          <w:szCs w:val="32"/>
          <w:lang w:bidi="ar"/>
        </w:rPr>
        <w:t>课程内容：</w:t>
      </w:r>
    </w:p>
    <w:p>
      <w:pPr>
        <w:widowControl/>
        <w:tabs>
          <w:tab w:val="left" w:pos="-851"/>
          <w:tab w:val="left" w:pos="720"/>
        </w:tabs>
        <w:spacing w:line="560" w:lineRule="exact"/>
        <w:ind w:firstLine="640" w:firstLineChars="200"/>
        <w:textAlignment w:val="baseline"/>
        <w:rPr>
          <w:rFonts w:ascii="仿宋_GB2312" w:hAnsi="仿宋" w:eastAsia="仿宋_GB2312" w:cs="Helvetica"/>
          <w:kern w:val="0"/>
          <w:sz w:val="32"/>
          <w:szCs w:val="32"/>
          <w:lang w:bidi="ar"/>
        </w:rPr>
      </w:pPr>
      <w:r>
        <w:rPr>
          <w:rFonts w:hint="eastAsia" w:ascii="仿宋_GB2312" w:hAnsi="仿宋" w:eastAsia="仿宋_GB2312" w:cs="Helvetica"/>
          <w:kern w:val="0"/>
          <w:sz w:val="32"/>
          <w:szCs w:val="32"/>
          <w:lang w:bidi="ar"/>
        </w:rPr>
        <w:t>本课程包含下面十一个单元和期末考试：</w:t>
      </w:r>
    </w:p>
    <w:p>
      <w:pPr>
        <w:widowControl/>
        <w:numPr>
          <w:ilvl w:val="0"/>
          <w:numId w:val="2"/>
        </w:numPr>
        <w:spacing w:line="560" w:lineRule="exact"/>
        <w:textAlignment w:val="baseline"/>
        <w:rPr>
          <w:rFonts w:hint="eastAsia" w:ascii="仿宋_GB2312" w:hAnsi="仿宋" w:eastAsia="仿宋_GB2312" w:cs="Helvetica"/>
          <w:kern w:val="0"/>
          <w:sz w:val="32"/>
          <w:szCs w:val="32"/>
          <w:lang w:bidi="ar"/>
        </w:rPr>
      </w:pPr>
      <w:r>
        <w:rPr>
          <w:rFonts w:hint="eastAsia" w:ascii="仿宋_GB2312" w:hAnsi="仿宋" w:eastAsia="仿宋_GB2312" w:cs="Helvetica"/>
          <w:kern w:val="0"/>
          <w:sz w:val="32"/>
          <w:szCs w:val="32"/>
          <w:lang w:bidi="ar"/>
        </w:rPr>
        <w:t>植物育种的性质和保护植物育种者权利的必要性</w:t>
      </w:r>
    </w:p>
    <w:p>
      <w:pPr>
        <w:widowControl/>
        <w:numPr>
          <w:ilvl w:val="0"/>
          <w:numId w:val="2"/>
        </w:numPr>
        <w:spacing w:line="560" w:lineRule="exact"/>
        <w:textAlignment w:val="baseline"/>
        <w:rPr>
          <w:rFonts w:hint="eastAsia" w:ascii="仿宋_GB2312" w:hAnsi="仿宋" w:eastAsia="仿宋_GB2312" w:cs="Helvetica"/>
          <w:kern w:val="0"/>
          <w:sz w:val="32"/>
          <w:szCs w:val="32"/>
          <w:lang w:bidi="ar"/>
        </w:rPr>
      </w:pPr>
      <w:r>
        <w:rPr>
          <w:rFonts w:hint="eastAsia" w:ascii="仿宋_GB2312" w:hAnsi="仿宋" w:eastAsia="仿宋_GB2312" w:cs="Helvetica"/>
          <w:kern w:val="0"/>
          <w:sz w:val="32"/>
          <w:szCs w:val="32"/>
          <w:lang w:bidi="ar"/>
        </w:rPr>
        <w:t>保护的客体和权利</w:t>
      </w:r>
    </w:p>
    <w:p>
      <w:pPr>
        <w:widowControl/>
        <w:numPr>
          <w:ilvl w:val="0"/>
          <w:numId w:val="2"/>
        </w:numPr>
        <w:spacing w:line="560" w:lineRule="exact"/>
        <w:textAlignment w:val="baseline"/>
        <w:rPr>
          <w:rFonts w:hint="eastAsia" w:ascii="仿宋_GB2312" w:hAnsi="仿宋" w:eastAsia="仿宋_GB2312" w:cs="Helvetica"/>
          <w:kern w:val="0"/>
          <w:sz w:val="32"/>
          <w:szCs w:val="32"/>
          <w:lang w:bidi="ar"/>
        </w:rPr>
      </w:pPr>
      <w:r>
        <w:rPr>
          <w:rFonts w:hint="eastAsia" w:ascii="仿宋_GB2312" w:hAnsi="仿宋" w:eastAsia="仿宋_GB2312" w:cs="Helvetica"/>
          <w:kern w:val="0"/>
          <w:sz w:val="32"/>
          <w:szCs w:val="32"/>
          <w:lang w:bidi="ar"/>
        </w:rPr>
        <w:t>保护条件</w:t>
      </w:r>
    </w:p>
    <w:p>
      <w:pPr>
        <w:widowControl/>
        <w:numPr>
          <w:ilvl w:val="0"/>
          <w:numId w:val="2"/>
        </w:numPr>
        <w:spacing w:line="560" w:lineRule="exact"/>
        <w:textAlignment w:val="baseline"/>
        <w:rPr>
          <w:rFonts w:hint="eastAsia" w:ascii="仿宋_GB2312" w:hAnsi="仿宋" w:eastAsia="仿宋_GB2312" w:cs="Helvetica"/>
          <w:kern w:val="0"/>
          <w:sz w:val="32"/>
          <w:szCs w:val="32"/>
          <w:lang w:bidi="ar"/>
        </w:rPr>
      </w:pPr>
      <w:r>
        <w:rPr>
          <w:rFonts w:hint="eastAsia" w:ascii="仿宋_GB2312" w:hAnsi="仿宋" w:eastAsia="仿宋_GB2312" w:cs="Helvetica"/>
          <w:kern w:val="0"/>
          <w:sz w:val="32"/>
          <w:szCs w:val="32"/>
          <w:lang w:bidi="ar"/>
        </w:rPr>
        <w:t>申请保护植物育种者权利</w:t>
      </w:r>
    </w:p>
    <w:p>
      <w:pPr>
        <w:widowControl/>
        <w:numPr>
          <w:ilvl w:val="0"/>
          <w:numId w:val="2"/>
        </w:numPr>
        <w:spacing w:line="560" w:lineRule="exact"/>
        <w:textAlignment w:val="baseline"/>
        <w:rPr>
          <w:rFonts w:hint="eastAsia" w:ascii="仿宋_GB2312" w:hAnsi="仿宋" w:eastAsia="仿宋_GB2312" w:cs="Helvetica"/>
          <w:kern w:val="0"/>
          <w:sz w:val="32"/>
          <w:szCs w:val="32"/>
          <w:lang w:bidi="ar"/>
        </w:rPr>
      </w:pPr>
      <w:r>
        <w:rPr>
          <w:rFonts w:hint="eastAsia" w:ascii="仿宋_GB2312" w:hAnsi="仿宋" w:eastAsia="仿宋_GB2312" w:cs="Helvetica"/>
          <w:kern w:val="0"/>
          <w:sz w:val="32"/>
          <w:szCs w:val="32"/>
          <w:lang w:bidi="ar"/>
        </w:rPr>
        <w:t>特异性、一致性和稳定性（DUS）测试</w:t>
      </w:r>
    </w:p>
    <w:p>
      <w:pPr>
        <w:widowControl/>
        <w:numPr>
          <w:ilvl w:val="0"/>
          <w:numId w:val="2"/>
        </w:numPr>
        <w:spacing w:line="560" w:lineRule="exact"/>
        <w:textAlignment w:val="baseline"/>
        <w:rPr>
          <w:rFonts w:hint="eastAsia" w:ascii="仿宋_GB2312" w:hAnsi="仿宋" w:eastAsia="仿宋_GB2312" w:cs="Helvetica"/>
          <w:kern w:val="0"/>
          <w:sz w:val="32"/>
          <w:szCs w:val="32"/>
          <w:lang w:bidi="ar"/>
        </w:rPr>
      </w:pPr>
      <w:r>
        <w:rPr>
          <w:rFonts w:hint="eastAsia" w:ascii="仿宋_GB2312" w:hAnsi="仿宋" w:eastAsia="仿宋_GB2312" w:cs="Helvetica"/>
          <w:kern w:val="0"/>
          <w:sz w:val="32"/>
          <w:szCs w:val="32"/>
          <w:lang w:bidi="ar"/>
        </w:rPr>
        <w:t>植物育种者权利的范围；覆盖的行为和材料</w:t>
      </w:r>
    </w:p>
    <w:p>
      <w:pPr>
        <w:widowControl/>
        <w:numPr>
          <w:ilvl w:val="0"/>
          <w:numId w:val="2"/>
        </w:numPr>
        <w:spacing w:line="560" w:lineRule="exact"/>
        <w:textAlignment w:val="baseline"/>
        <w:rPr>
          <w:rFonts w:hint="eastAsia" w:ascii="仿宋_GB2312" w:hAnsi="仿宋" w:eastAsia="仿宋_GB2312" w:cs="Helvetica"/>
          <w:kern w:val="0"/>
          <w:sz w:val="32"/>
          <w:szCs w:val="32"/>
          <w:lang w:bidi="ar"/>
        </w:rPr>
      </w:pPr>
      <w:r>
        <w:rPr>
          <w:rFonts w:hint="eastAsia" w:ascii="仿宋_GB2312" w:hAnsi="仿宋" w:eastAsia="仿宋_GB2312" w:cs="Helvetica"/>
          <w:kern w:val="0"/>
          <w:sz w:val="32"/>
          <w:szCs w:val="32"/>
          <w:lang w:bidi="ar"/>
        </w:rPr>
        <w:t>植物育种者权利的范围；覆盖的品种</w:t>
      </w:r>
    </w:p>
    <w:p>
      <w:pPr>
        <w:widowControl/>
        <w:numPr>
          <w:ilvl w:val="0"/>
          <w:numId w:val="2"/>
        </w:numPr>
        <w:spacing w:line="560" w:lineRule="exact"/>
        <w:textAlignment w:val="baseline"/>
        <w:rPr>
          <w:rFonts w:hint="eastAsia" w:ascii="仿宋_GB2312" w:hAnsi="仿宋" w:eastAsia="仿宋_GB2312" w:cs="Helvetica"/>
          <w:kern w:val="0"/>
          <w:sz w:val="32"/>
          <w:szCs w:val="32"/>
          <w:lang w:bidi="ar"/>
        </w:rPr>
      </w:pPr>
      <w:r>
        <w:rPr>
          <w:rFonts w:hint="eastAsia" w:ascii="仿宋_GB2312" w:hAnsi="仿宋" w:eastAsia="仿宋_GB2312" w:cs="Helvetica"/>
          <w:kern w:val="0"/>
          <w:sz w:val="32"/>
          <w:szCs w:val="32"/>
          <w:lang w:bidi="ar"/>
        </w:rPr>
        <w:t>植物育种者权利的例外与限制</w:t>
      </w:r>
    </w:p>
    <w:p>
      <w:pPr>
        <w:widowControl/>
        <w:numPr>
          <w:ilvl w:val="0"/>
          <w:numId w:val="2"/>
        </w:numPr>
        <w:spacing w:line="560" w:lineRule="exact"/>
        <w:textAlignment w:val="baseline"/>
        <w:rPr>
          <w:rFonts w:hint="eastAsia" w:ascii="仿宋_GB2312" w:hAnsi="仿宋" w:eastAsia="仿宋_GB2312" w:cs="Helvetica"/>
          <w:kern w:val="0"/>
          <w:sz w:val="32"/>
          <w:szCs w:val="32"/>
          <w:lang w:bidi="ar"/>
        </w:rPr>
      </w:pPr>
      <w:r>
        <w:rPr>
          <w:rFonts w:hint="eastAsia" w:ascii="仿宋_GB2312" w:hAnsi="仿宋" w:eastAsia="仿宋_GB2312" w:cs="Helvetica"/>
          <w:kern w:val="0"/>
          <w:sz w:val="32"/>
          <w:szCs w:val="32"/>
          <w:lang w:bidi="ar"/>
        </w:rPr>
        <w:t>植物育种者权利的无效和取消</w:t>
      </w:r>
    </w:p>
    <w:p>
      <w:pPr>
        <w:widowControl/>
        <w:numPr>
          <w:ilvl w:val="0"/>
          <w:numId w:val="2"/>
        </w:numPr>
        <w:spacing w:line="560" w:lineRule="exact"/>
        <w:textAlignment w:val="baseline"/>
        <w:rPr>
          <w:rFonts w:hint="eastAsia" w:ascii="仿宋_GB2312" w:hAnsi="仿宋" w:eastAsia="仿宋_GB2312" w:cs="Helvetica"/>
          <w:kern w:val="0"/>
          <w:sz w:val="32"/>
          <w:szCs w:val="32"/>
          <w:lang w:bidi="ar"/>
        </w:rPr>
      </w:pPr>
      <w:r>
        <w:rPr>
          <w:rFonts w:hint="eastAsia" w:ascii="仿宋_GB2312" w:hAnsi="仿宋" w:eastAsia="仿宋_GB2312" w:cs="Helvetica"/>
          <w:kern w:val="0"/>
          <w:sz w:val="32"/>
          <w:szCs w:val="32"/>
          <w:lang w:bidi="ar"/>
        </w:rPr>
        <w:t>植物新品种保护联盟</w:t>
      </w:r>
    </w:p>
    <w:p>
      <w:pPr>
        <w:widowControl/>
        <w:numPr>
          <w:ilvl w:val="0"/>
          <w:numId w:val="2"/>
        </w:numPr>
        <w:spacing w:line="560" w:lineRule="exact"/>
        <w:textAlignment w:val="baseline"/>
        <w:rPr>
          <w:rFonts w:hint="eastAsia" w:ascii="仿宋_GB2312" w:hAnsi="仿宋" w:eastAsia="仿宋_GB2312" w:cs="Helvetica"/>
          <w:kern w:val="0"/>
          <w:sz w:val="32"/>
          <w:szCs w:val="32"/>
          <w:lang w:bidi="ar"/>
        </w:rPr>
      </w:pPr>
      <w:r>
        <w:rPr>
          <w:rFonts w:hint="eastAsia" w:ascii="仿宋_GB2312" w:hAnsi="仿宋" w:eastAsia="仿宋_GB2312" w:cs="Helvetica"/>
          <w:kern w:val="0"/>
          <w:sz w:val="32"/>
          <w:szCs w:val="32"/>
          <w:lang w:bidi="ar"/>
        </w:rPr>
        <w:t>《公约》的履行和最后条款</w:t>
      </w:r>
    </w:p>
    <w:p>
      <w:pPr>
        <w:widowControl/>
        <w:numPr>
          <w:ilvl w:val="0"/>
          <w:numId w:val="1"/>
        </w:numPr>
        <w:spacing w:line="560" w:lineRule="exact"/>
        <w:textAlignment w:val="baseline"/>
        <w:rPr>
          <w:rFonts w:ascii="仿宋_GB2312" w:hAnsi="仿宋" w:eastAsia="仿宋_GB2312" w:cs="Helvetica"/>
          <w:b/>
          <w:kern w:val="0"/>
          <w:sz w:val="32"/>
          <w:szCs w:val="32"/>
          <w:lang w:bidi="ar"/>
        </w:rPr>
      </w:pPr>
      <w:r>
        <w:rPr>
          <w:rFonts w:hint="eastAsia" w:ascii="仿宋_GB2312" w:hAnsi="仿宋" w:eastAsia="仿宋_GB2312" w:cs="Helvetica"/>
          <w:b/>
          <w:kern w:val="0"/>
          <w:sz w:val="32"/>
          <w:szCs w:val="32"/>
          <w:lang w:bidi="ar"/>
        </w:rPr>
        <w:t>考试：</w:t>
      </w:r>
      <w:r>
        <w:rPr>
          <w:rFonts w:hint="eastAsia" w:ascii="仿宋_GB2312" w:hAnsi="仿宋" w:eastAsia="仿宋_GB2312" w:cs="Helvetica"/>
          <w:kern w:val="0"/>
          <w:sz w:val="32"/>
          <w:szCs w:val="32"/>
          <w:lang w:bidi="ar"/>
        </w:rPr>
        <w:t>有</w:t>
      </w:r>
    </w:p>
    <w:p>
      <w:pPr>
        <w:widowControl/>
        <w:numPr>
          <w:ilvl w:val="0"/>
          <w:numId w:val="1"/>
        </w:numPr>
        <w:spacing w:line="560" w:lineRule="exact"/>
        <w:textAlignment w:val="baseline"/>
        <w:rPr>
          <w:rFonts w:ascii="仿宋_GB2312" w:hAnsi="仿宋" w:eastAsia="仿宋_GB2312" w:cs="Helvetica"/>
          <w:b/>
          <w:kern w:val="0"/>
          <w:sz w:val="32"/>
          <w:szCs w:val="32"/>
          <w:lang w:bidi="ar"/>
        </w:rPr>
      </w:pPr>
      <w:r>
        <w:rPr>
          <w:rFonts w:hint="eastAsia" w:ascii="仿宋_GB2312" w:hAnsi="仿宋" w:eastAsia="仿宋_GB2312" w:cs="Helvetica"/>
          <w:b/>
          <w:kern w:val="0"/>
          <w:sz w:val="32"/>
          <w:szCs w:val="32"/>
          <w:lang w:bidi="ar"/>
        </w:rPr>
        <w:t>地点：</w:t>
      </w:r>
      <w:r>
        <w:rPr>
          <w:rFonts w:hint="eastAsia" w:ascii="仿宋_GB2312" w:hAnsi="仿宋" w:eastAsia="仿宋_GB2312" w:cs="Helvetica"/>
          <w:b w:val="0"/>
          <w:bCs/>
          <w:kern w:val="0"/>
          <w:sz w:val="32"/>
          <w:szCs w:val="32"/>
          <w:lang w:eastAsia="zh-CN" w:bidi="ar"/>
        </w:rPr>
        <w:t>在线</w:t>
      </w:r>
    </w:p>
    <w:p>
      <w:pPr>
        <w:widowControl/>
        <w:numPr>
          <w:ilvl w:val="0"/>
          <w:numId w:val="1"/>
        </w:numPr>
        <w:spacing w:line="560" w:lineRule="exact"/>
        <w:textAlignment w:val="baseline"/>
        <w:rPr>
          <w:rFonts w:ascii="仿宋_GB2312" w:hAnsi="仿宋" w:eastAsia="仿宋_GB2312" w:cs="Helvetica"/>
          <w:b/>
          <w:kern w:val="0"/>
          <w:sz w:val="32"/>
          <w:szCs w:val="32"/>
          <w:lang w:bidi="ar"/>
        </w:rPr>
      </w:pPr>
      <w:r>
        <w:rPr>
          <w:rFonts w:hint="eastAsia" w:ascii="仿宋_GB2312" w:hAnsi="仿宋" w:eastAsia="仿宋_GB2312" w:cs="Helvetica"/>
          <w:b/>
          <w:kern w:val="0"/>
          <w:sz w:val="32"/>
          <w:szCs w:val="32"/>
          <w:lang w:bidi="ar"/>
        </w:rPr>
        <w:t>语言：</w:t>
      </w:r>
      <w:r>
        <w:rPr>
          <w:rFonts w:hint="eastAsia" w:ascii="仿宋_GB2312" w:hAnsi="仿宋" w:eastAsia="仿宋_GB2312" w:cs="Helvetica"/>
          <w:kern w:val="0"/>
          <w:sz w:val="32"/>
          <w:szCs w:val="32"/>
          <w:lang w:bidi="ar"/>
        </w:rPr>
        <w:t>中文</w:t>
      </w:r>
    </w:p>
    <w:p>
      <w:pPr>
        <w:widowControl/>
        <w:numPr>
          <w:ilvl w:val="0"/>
          <w:numId w:val="1"/>
        </w:numPr>
        <w:spacing w:line="560" w:lineRule="exact"/>
        <w:textAlignment w:val="baseline"/>
        <w:rPr>
          <w:rFonts w:ascii="仿宋_GB2312" w:hAnsi="仿宋" w:eastAsia="仿宋_GB2312" w:cs="Helvetica"/>
          <w:b/>
          <w:kern w:val="0"/>
          <w:sz w:val="32"/>
          <w:szCs w:val="32"/>
          <w:lang w:bidi="ar"/>
        </w:rPr>
      </w:pPr>
      <w:r>
        <w:rPr>
          <w:rFonts w:hint="eastAsia" w:ascii="仿宋_GB2312" w:hAnsi="仿宋" w:eastAsia="仿宋_GB2312" w:cs="Helvetica"/>
          <w:b/>
          <w:kern w:val="0"/>
          <w:sz w:val="32"/>
          <w:szCs w:val="32"/>
          <w:lang w:bidi="ar"/>
        </w:rPr>
        <w:t>辅导老师：</w:t>
      </w:r>
      <w:r>
        <w:rPr>
          <w:rFonts w:hint="eastAsia" w:ascii="仿宋_GB2312" w:hAnsi="仿宋" w:eastAsia="仿宋_GB2312" w:cs="Helvetica"/>
          <w:kern w:val="0"/>
          <w:sz w:val="32"/>
          <w:szCs w:val="32"/>
          <w:lang w:bidi="ar"/>
        </w:rPr>
        <w:t>有</w:t>
      </w:r>
    </w:p>
    <w:p>
      <w:pPr>
        <w:widowControl/>
        <w:numPr>
          <w:ilvl w:val="0"/>
          <w:numId w:val="1"/>
        </w:numPr>
        <w:spacing w:line="560" w:lineRule="exact"/>
        <w:textAlignment w:val="baseline"/>
        <w:rPr>
          <w:rFonts w:ascii="仿宋_GB2312" w:hAnsi="仿宋" w:eastAsia="仿宋_GB2312" w:cs="Helvetica"/>
          <w:b/>
          <w:kern w:val="0"/>
          <w:sz w:val="32"/>
          <w:szCs w:val="32"/>
          <w:lang w:bidi="ar"/>
        </w:rPr>
      </w:pPr>
      <w:r>
        <w:rPr>
          <w:rFonts w:hint="eastAsia" w:ascii="仿宋_GB2312" w:hAnsi="仿宋" w:eastAsia="仿宋_GB2312" w:cs="Helvetica"/>
          <w:b/>
          <w:kern w:val="0"/>
          <w:sz w:val="32"/>
          <w:szCs w:val="32"/>
          <w:lang w:bidi="ar"/>
        </w:rPr>
        <w:t>证书：</w:t>
      </w:r>
      <w:r>
        <w:rPr>
          <w:rFonts w:hint="eastAsia" w:ascii="仿宋_GB2312" w:hAnsi="仿宋" w:eastAsia="仿宋_GB2312" w:cs="Helvetica"/>
          <w:kern w:val="0"/>
          <w:sz w:val="32"/>
          <w:szCs w:val="32"/>
          <w:lang w:bidi="ar"/>
        </w:rPr>
        <w:t>有（电子证书自行打印）</w:t>
      </w:r>
    </w:p>
    <w:p>
      <w:pPr>
        <w:widowControl/>
        <w:numPr>
          <w:ilvl w:val="0"/>
          <w:numId w:val="1"/>
        </w:numPr>
        <w:spacing w:line="560" w:lineRule="exact"/>
        <w:textAlignment w:val="baseline"/>
        <w:rPr>
          <w:rFonts w:ascii="仿宋_GB2312" w:hAnsi="仿宋" w:eastAsia="仿宋_GB2312" w:cs="Helvetica"/>
          <w:b/>
          <w:kern w:val="0"/>
          <w:sz w:val="32"/>
          <w:szCs w:val="32"/>
          <w:lang w:bidi="ar"/>
        </w:rPr>
      </w:pPr>
      <w:r>
        <w:rPr>
          <w:rFonts w:hint="eastAsia" w:ascii="仿宋_GB2312" w:hAnsi="仿宋" w:eastAsia="仿宋_GB2312" w:cs="Helvetica"/>
          <w:b/>
          <w:kern w:val="0"/>
          <w:sz w:val="32"/>
          <w:szCs w:val="32"/>
          <w:lang w:bidi="ar"/>
        </w:rPr>
        <w:t>学习费用：</w:t>
      </w:r>
      <w:r>
        <w:rPr>
          <w:rFonts w:hint="eastAsia" w:ascii="仿宋_GB2312" w:hAnsi="仿宋" w:eastAsia="仿宋_GB2312" w:cs="Helvetica"/>
          <w:kern w:val="0"/>
          <w:sz w:val="32"/>
          <w:szCs w:val="32"/>
          <w:lang w:val="en-US" w:eastAsia="zh-CN" w:bidi="ar"/>
        </w:rPr>
        <w:t>200元</w:t>
      </w:r>
    </w:p>
    <w:p>
      <w:pPr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</w:p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400111"/>
    <w:multiLevelType w:val="multilevel"/>
    <w:tmpl w:val="44400111"/>
    <w:lvl w:ilvl="0" w:tentative="0">
      <w:start w:val="1"/>
      <w:numFmt w:val="decimal"/>
      <w:lvlText w:val="%1."/>
      <w:lvlJc w:val="left"/>
      <w:pPr>
        <w:ind w:left="1045" w:hanging="40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57CD293F"/>
    <w:multiLevelType w:val="multilevel"/>
    <w:tmpl w:val="57CD293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1MjczNTc5MTlhNWExYTE5NTZiYTUwMmZkNjQ1N2YifQ=="/>
  </w:docVars>
  <w:rsids>
    <w:rsidRoot w:val="003553A2"/>
    <w:rsid w:val="0003148F"/>
    <w:rsid w:val="00063E97"/>
    <w:rsid w:val="000873FC"/>
    <w:rsid w:val="00087942"/>
    <w:rsid w:val="0009339C"/>
    <w:rsid w:val="000B377A"/>
    <w:rsid w:val="000C2032"/>
    <w:rsid w:val="000E7845"/>
    <w:rsid w:val="00111AF7"/>
    <w:rsid w:val="001134B0"/>
    <w:rsid w:val="00151B17"/>
    <w:rsid w:val="00167B79"/>
    <w:rsid w:val="0019619D"/>
    <w:rsid w:val="001D10DE"/>
    <w:rsid w:val="002364A1"/>
    <w:rsid w:val="00246523"/>
    <w:rsid w:val="00297A83"/>
    <w:rsid w:val="002B6BAA"/>
    <w:rsid w:val="002B745D"/>
    <w:rsid w:val="00336788"/>
    <w:rsid w:val="003553A2"/>
    <w:rsid w:val="00365CE7"/>
    <w:rsid w:val="003D3631"/>
    <w:rsid w:val="00401C57"/>
    <w:rsid w:val="004B3DC1"/>
    <w:rsid w:val="004D195D"/>
    <w:rsid w:val="004D4647"/>
    <w:rsid w:val="004F01C7"/>
    <w:rsid w:val="005348D0"/>
    <w:rsid w:val="00540A3B"/>
    <w:rsid w:val="00562BA1"/>
    <w:rsid w:val="00597781"/>
    <w:rsid w:val="005A1838"/>
    <w:rsid w:val="005A2E7F"/>
    <w:rsid w:val="005E7103"/>
    <w:rsid w:val="005F7737"/>
    <w:rsid w:val="006436C7"/>
    <w:rsid w:val="00646D09"/>
    <w:rsid w:val="0066553F"/>
    <w:rsid w:val="006731ED"/>
    <w:rsid w:val="006E5085"/>
    <w:rsid w:val="00706995"/>
    <w:rsid w:val="00747712"/>
    <w:rsid w:val="00772A55"/>
    <w:rsid w:val="00777A4C"/>
    <w:rsid w:val="007B203B"/>
    <w:rsid w:val="007D3731"/>
    <w:rsid w:val="00830178"/>
    <w:rsid w:val="0084045A"/>
    <w:rsid w:val="00850F9B"/>
    <w:rsid w:val="00861E5A"/>
    <w:rsid w:val="00897A47"/>
    <w:rsid w:val="008B6D3B"/>
    <w:rsid w:val="008C3F84"/>
    <w:rsid w:val="008E1390"/>
    <w:rsid w:val="00914131"/>
    <w:rsid w:val="00992FAF"/>
    <w:rsid w:val="009B0FE4"/>
    <w:rsid w:val="009B4FB1"/>
    <w:rsid w:val="009E2271"/>
    <w:rsid w:val="009E6740"/>
    <w:rsid w:val="009F287E"/>
    <w:rsid w:val="00A328E5"/>
    <w:rsid w:val="00A35EC2"/>
    <w:rsid w:val="00A3642C"/>
    <w:rsid w:val="00A3710B"/>
    <w:rsid w:val="00A432B0"/>
    <w:rsid w:val="00A748CB"/>
    <w:rsid w:val="00A96153"/>
    <w:rsid w:val="00AA2C0C"/>
    <w:rsid w:val="00AB6C72"/>
    <w:rsid w:val="00B47B9A"/>
    <w:rsid w:val="00B67A2A"/>
    <w:rsid w:val="00B84DED"/>
    <w:rsid w:val="00B901A3"/>
    <w:rsid w:val="00BA4D07"/>
    <w:rsid w:val="00BD760C"/>
    <w:rsid w:val="00C210BF"/>
    <w:rsid w:val="00C23D92"/>
    <w:rsid w:val="00C3147E"/>
    <w:rsid w:val="00C670AC"/>
    <w:rsid w:val="00C842F4"/>
    <w:rsid w:val="00D07B10"/>
    <w:rsid w:val="00D85C14"/>
    <w:rsid w:val="00E32352"/>
    <w:rsid w:val="00E741FF"/>
    <w:rsid w:val="00FC18F6"/>
    <w:rsid w:val="05F17CC7"/>
    <w:rsid w:val="09F2244B"/>
    <w:rsid w:val="13D31250"/>
    <w:rsid w:val="1F7D0EBD"/>
    <w:rsid w:val="259E5C71"/>
    <w:rsid w:val="266A209B"/>
    <w:rsid w:val="276E0D20"/>
    <w:rsid w:val="29B806A9"/>
    <w:rsid w:val="2A56149F"/>
    <w:rsid w:val="560C1580"/>
    <w:rsid w:val="766042A3"/>
    <w:rsid w:val="7A0E2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autoRedefine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9">
    <w:name w:val="apple-converted-space"/>
    <w:basedOn w:val="5"/>
    <w:qFormat/>
    <w:uiPriority w:val="0"/>
  </w:style>
  <w:style w:type="paragraph" w:styleId="10">
    <w:name w:val="List Paragraph"/>
    <w:basedOn w:val="1"/>
    <w:autoRedefine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337</Words>
  <Characters>356</Characters>
  <Lines>39</Lines>
  <Paragraphs>10</Paragraphs>
  <TotalTime>3</TotalTime>
  <ScaleCrop>false</ScaleCrop>
  <LinksUpToDate>false</LinksUpToDate>
  <CharactersWithSpaces>357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2017-07-25T07:41:00Z</dcterms:created>
  <dc:creator>meizhuo</dc:creator>
  <cp:lastModifiedBy>刘婉婷</cp:lastModifiedBy>
  <dcterms:modified xsi:type="dcterms:W3CDTF">2024-03-13T07:19:03Z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5D724536829746C0BD1BEDD3E0A2D45D</vt:lpwstr>
  </property>
</Properties>
</file>